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 xml:space="preserve">КОНТРОЛЬНО-СЧЕТНАЯ ПАЛАТА </w:t>
      </w:r>
    </w:p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91663" w:rsidRDefault="009555CD" w:rsidP="00966BBC">
      <w:pPr>
        <w:jc w:val="center"/>
        <w:rPr>
          <w:b/>
        </w:rPr>
      </w:pPr>
    </w:p>
    <w:p w:rsidR="009555CD" w:rsidRPr="00D91663" w:rsidRDefault="009555CD" w:rsidP="00966BBC">
      <w:pPr>
        <w:jc w:val="center"/>
        <w:rPr>
          <w:b/>
          <w:sz w:val="18"/>
          <w:szCs w:val="18"/>
        </w:rPr>
      </w:pPr>
      <w:r w:rsidRPr="00D91663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:</w:t>
      </w:r>
      <w:r w:rsidRPr="00D91663">
        <w:rPr>
          <w:b/>
          <w:sz w:val="18"/>
          <w:szCs w:val="18"/>
          <w:lang w:val="en-US"/>
        </w:rPr>
        <w:t>nizhneudinskrk</w:t>
      </w:r>
      <w:r w:rsidRPr="00D91663">
        <w:rPr>
          <w:b/>
          <w:sz w:val="18"/>
          <w:szCs w:val="18"/>
        </w:rPr>
        <w:t>@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.</w:t>
      </w:r>
      <w:r w:rsidRPr="00D91663">
        <w:rPr>
          <w:b/>
          <w:sz w:val="18"/>
          <w:szCs w:val="18"/>
          <w:lang w:val="en-US"/>
        </w:rPr>
        <w:t>ru</w:t>
      </w:r>
    </w:p>
    <w:p w:rsidR="009555CD" w:rsidRPr="00D91663" w:rsidRDefault="00393EB6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3C2B75" w:rsidRDefault="009555CD" w:rsidP="00966BBC">
      <w:pPr>
        <w:pStyle w:val="a5"/>
        <w:rPr>
          <w:sz w:val="28"/>
          <w:szCs w:val="28"/>
        </w:rPr>
      </w:pPr>
      <w:r w:rsidRPr="003C2B75">
        <w:rPr>
          <w:sz w:val="28"/>
          <w:szCs w:val="28"/>
        </w:rPr>
        <w:t xml:space="preserve">ЗАКЛЮЧЕНИЕ </w:t>
      </w:r>
    </w:p>
    <w:p w:rsidR="009555CD" w:rsidRPr="003C2B75" w:rsidRDefault="009555CD" w:rsidP="005158EE">
      <w:pPr>
        <w:spacing w:line="240" w:lineRule="atLeast"/>
        <w:jc w:val="center"/>
        <w:rPr>
          <w:b/>
          <w:bCs/>
          <w:sz w:val="28"/>
          <w:szCs w:val="28"/>
        </w:rPr>
      </w:pPr>
      <w:r w:rsidRPr="003C2B75">
        <w:rPr>
          <w:sz w:val="28"/>
          <w:szCs w:val="28"/>
        </w:rPr>
        <w:t xml:space="preserve">по экспертизе проекта решения Думы Нижнеудинского муниципального образования </w:t>
      </w:r>
      <w:r w:rsidR="005158EE">
        <w:rPr>
          <w:sz w:val="28"/>
          <w:szCs w:val="28"/>
        </w:rPr>
        <w:t>«О</w:t>
      </w:r>
      <w:r w:rsidR="005158EE" w:rsidRPr="003C2B75">
        <w:rPr>
          <w:sz w:val="28"/>
          <w:szCs w:val="28"/>
        </w:rPr>
        <w:t xml:space="preserve"> внесении изменений в решение Думы «О бюджете Нижнеудинского муниципального образования   на 201</w:t>
      </w:r>
      <w:r w:rsidR="005158EE">
        <w:rPr>
          <w:sz w:val="28"/>
          <w:szCs w:val="28"/>
        </w:rPr>
        <w:t>7</w:t>
      </w:r>
      <w:r w:rsidR="005158EE" w:rsidRPr="003C2B75">
        <w:rPr>
          <w:sz w:val="28"/>
          <w:szCs w:val="28"/>
        </w:rPr>
        <w:t xml:space="preserve"> год</w:t>
      </w:r>
      <w:r w:rsidR="005158EE">
        <w:rPr>
          <w:sz w:val="28"/>
          <w:szCs w:val="28"/>
        </w:rPr>
        <w:t xml:space="preserve"> и плановый период 2018 и 2019 годов</w:t>
      </w:r>
      <w:r w:rsidR="005158EE" w:rsidRPr="003C2B75">
        <w:rPr>
          <w:sz w:val="28"/>
          <w:szCs w:val="28"/>
        </w:rPr>
        <w:t>»</w:t>
      </w:r>
    </w:p>
    <w:p w:rsidR="005158EE" w:rsidRDefault="005158EE" w:rsidP="00966BBC">
      <w:pPr>
        <w:pStyle w:val="a5"/>
        <w:jc w:val="left"/>
        <w:rPr>
          <w:b w:val="0"/>
          <w:bCs w:val="0"/>
          <w:sz w:val="28"/>
          <w:szCs w:val="28"/>
        </w:rPr>
      </w:pPr>
    </w:p>
    <w:p w:rsidR="009555CD" w:rsidRPr="003C2B75" w:rsidRDefault="00C90AB2" w:rsidP="00966BBC">
      <w:pPr>
        <w:pStyle w:val="a5"/>
        <w:jc w:val="left"/>
        <w:rPr>
          <w:b w:val="0"/>
          <w:bCs w:val="0"/>
          <w:sz w:val="28"/>
          <w:szCs w:val="28"/>
        </w:rPr>
      </w:pPr>
      <w:r w:rsidRPr="003C2B75">
        <w:rPr>
          <w:b w:val="0"/>
          <w:bCs w:val="0"/>
          <w:sz w:val="28"/>
          <w:szCs w:val="28"/>
        </w:rPr>
        <w:t>2</w:t>
      </w:r>
      <w:r w:rsidR="0020018A">
        <w:rPr>
          <w:b w:val="0"/>
          <w:bCs w:val="0"/>
          <w:sz w:val="28"/>
          <w:szCs w:val="28"/>
        </w:rPr>
        <w:t>0</w:t>
      </w:r>
      <w:r w:rsidRPr="003C2B75">
        <w:rPr>
          <w:b w:val="0"/>
          <w:bCs w:val="0"/>
          <w:sz w:val="28"/>
          <w:szCs w:val="28"/>
        </w:rPr>
        <w:t xml:space="preserve"> </w:t>
      </w:r>
      <w:r w:rsidR="00137F6D">
        <w:rPr>
          <w:b w:val="0"/>
          <w:bCs w:val="0"/>
          <w:sz w:val="28"/>
          <w:szCs w:val="28"/>
        </w:rPr>
        <w:t>января</w:t>
      </w:r>
      <w:r w:rsidR="009555CD" w:rsidRPr="003C2B75">
        <w:rPr>
          <w:b w:val="0"/>
          <w:bCs w:val="0"/>
          <w:sz w:val="28"/>
          <w:szCs w:val="28"/>
        </w:rPr>
        <w:t xml:space="preserve"> 201</w:t>
      </w:r>
      <w:r w:rsidR="00137F6D">
        <w:rPr>
          <w:b w:val="0"/>
          <w:bCs w:val="0"/>
          <w:sz w:val="28"/>
          <w:szCs w:val="28"/>
        </w:rPr>
        <w:t>7</w:t>
      </w:r>
      <w:r w:rsidR="009555CD" w:rsidRPr="003C2B75">
        <w:rPr>
          <w:b w:val="0"/>
          <w:bCs w:val="0"/>
          <w:sz w:val="28"/>
          <w:szCs w:val="28"/>
        </w:rPr>
        <w:t xml:space="preserve"> года </w:t>
      </w:r>
      <w:r w:rsidR="00B55F73" w:rsidRPr="003C2B75">
        <w:rPr>
          <w:b w:val="0"/>
          <w:bCs w:val="0"/>
          <w:sz w:val="28"/>
          <w:szCs w:val="28"/>
        </w:rPr>
        <w:t xml:space="preserve">      </w:t>
      </w:r>
      <w:r w:rsidR="003C2B75">
        <w:rPr>
          <w:b w:val="0"/>
          <w:bCs w:val="0"/>
          <w:sz w:val="28"/>
          <w:szCs w:val="28"/>
        </w:rPr>
        <w:t xml:space="preserve"> </w:t>
      </w:r>
      <w:r w:rsidR="00B55F73" w:rsidRPr="003C2B75">
        <w:rPr>
          <w:b w:val="0"/>
          <w:bCs w:val="0"/>
          <w:sz w:val="28"/>
          <w:szCs w:val="28"/>
        </w:rPr>
        <w:t xml:space="preserve">                                                                       №</w:t>
      </w:r>
      <w:r w:rsidR="009555CD" w:rsidRPr="003C2B75">
        <w:rPr>
          <w:b w:val="0"/>
          <w:bCs w:val="0"/>
          <w:sz w:val="28"/>
          <w:szCs w:val="28"/>
          <w:u w:val="single"/>
        </w:rPr>
        <w:t>01-10/</w:t>
      </w:r>
      <w:r w:rsidR="00137F6D">
        <w:rPr>
          <w:b w:val="0"/>
          <w:bCs w:val="0"/>
          <w:sz w:val="28"/>
          <w:szCs w:val="28"/>
          <w:u w:val="single"/>
        </w:rPr>
        <w:t>01</w:t>
      </w:r>
    </w:p>
    <w:p w:rsidR="009555CD" w:rsidRPr="003C2B75" w:rsidRDefault="009555CD" w:rsidP="00966BBC">
      <w:pPr>
        <w:spacing w:line="240" w:lineRule="atLeast"/>
        <w:rPr>
          <w:sz w:val="28"/>
          <w:szCs w:val="28"/>
        </w:rPr>
      </w:pPr>
    </w:p>
    <w:p w:rsidR="009555CD" w:rsidRPr="003C2B75" w:rsidRDefault="009555CD" w:rsidP="0064195C">
      <w:pPr>
        <w:spacing w:line="240" w:lineRule="atLeast"/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В соответствии с п</w:t>
      </w:r>
      <w:r w:rsidR="00D05014">
        <w:rPr>
          <w:sz w:val="28"/>
          <w:szCs w:val="28"/>
        </w:rPr>
        <w:t xml:space="preserve">унктом </w:t>
      </w:r>
      <w:r w:rsidRPr="003C2B75">
        <w:rPr>
          <w:sz w:val="28"/>
          <w:szCs w:val="28"/>
        </w:rPr>
        <w:t>2 ч</w:t>
      </w:r>
      <w:r w:rsidR="00D05014">
        <w:rPr>
          <w:sz w:val="28"/>
          <w:szCs w:val="28"/>
        </w:rPr>
        <w:t xml:space="preserve">асти </w:t>
      </w:r>
      <w:r w:rsidRPr="003C2B75">
        <w:rPr>
          <w:sz w:val="28"/>
          <w:szCs w:val="28"/>
        </w:rPr>
        <w:t>1 ст</w:t>
      </w:r>
      <w:r w:rsidR="00D05014">
        <w:rPr>
          <w:sz w:val="28"/>
          <w:szCs w:val="28"/>
        </w:rPr>
        <w:t xml:space="preserve">атьи </w:t>
      </w:r>
      <w:r w:rsidRPr="003C2B75">
        <w:rPr>
          <w:sz w:val="28"/>
          <w:szCs w:val="28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>
        <w:rPr>
          <w:sz w:val="28"/>
          <w:szCs w:val="28"/>
        </w:rPr>
        <w:t>«О</w:t>
      </w:r>
      <w:r w:rsidR="005A755E" w:rsidRPr="003C2B75">
        <w:rPr>
          <w:sz w:val="28"/>
          <w:szCs w:val="28"/>
        </w:rPr>
        <w:t xml:space="preserve"> внесении изменений в решение Думы «О бюджете Нижнеудинского муниципального образования   на 201</w:t>
      </w:r>
      <w:r w:rsidR="00137F6D">
        <w:rPr>
          <w:sz w:val="28"/>
          <w:szCs w:val="28"/>
        </w:rPr>
        <w:t>7</w:t>
      </w:r>
      <w:r w:rsidR="005A755E" w:rsidRPr="003C2B75">
        <w:rPr>
          <w:sz w:val="28"/>
          <w:szCs w:val="28"/>
        </w:rPr>
        <w:t xml:space="preserve"> год</w:t>
      </w:r>
      <w:r w:rsidR="00137F6D">
        <w:rPr>
          <w:sz w:val="28"/>
          <w:szCs w:val="28"/>
        </w:rPr>
        <w:t xml:space="preserve"> и плановый период 2018 и 2019 годов</w:t>
      </w:r>
      <w:r w:rsidR="005A755E" w:rsidRPr="003C2B75">
        <w:rPr>
          <w:sz w:val="28"/>
          <w:szCs w:val="28"/>
        </w:rPr>
        <w:t>»</w:t>
      </w:r>
      <w:r w:rsidRPr="003C2B75">
        <w:rPr>
          <w:sz w:val="28"/>
          <w:szCs w:val="28"/>
        </w:rPr>
        <w:t>.</w:t>
      </w:r>
    </w:p>
    <w:p w:rsidR="00FA791A" w:rsidRDefault="009555CD" w:rsidP="004475F4">
      <w:pPr>
        <w:pStyle w:val="a3"/>
        <w:spacing w:line="240" w:lineRule="atLeast"/>
        <w:ind w:firstLine="708"/>
        <w:rPr>
          <w:sz w:val="28"/>
          <w:szCs w:val="28"/>
        </w:rPr>
      </w:pPr>
      <w:r w:rsidRPr="003C2B75">
        <w:rPr>
          <w:sz w:val="28"/>
          <w:szCs w:val="28"/>
        </w:rPr>
        <w:t>В результате проведения экспертизы установлено:</w:t>
      </w:r>
      <w:r w:rsidR="004F7B73" w:rsidRPr="003C2B75">
        <w:rPr>
          <w:sz w:val="28"/>
          <w:szCs w:val="28"/>
        </w:rPr>
        <w:t xml:space="preserve"> </w:t>
      </w:r>
      <w:r w:rsidR="00137F6D">
        <w:rPr>
          <w:sz w:val="28"/>
          <w:szCs w:val="28"/>
        </w:rPr>
        <w:t>в</w:t>
      </w:r>
      <w:r w:rsidRPr="003C2B75">
        <w:rPr>
          <w:sz w:val="28"/>
          <w:szCs w:val="28"/>
        </w:rPr>
        <w:t xml:space="preserve"> соответствии со статьей 1 проекта решения о бюджете предлагается утвердить общий объем расходов местного бюджета на 201</w:t>
      </w:r>
      <w:r w:rsidR="00137F6D">
        <w:rPr>
          <w:sz w:val="28"/>
          <w:szCs w:val="28"/>
        </w:rPr>
        <w:t>7</w:t>
      </w:r>
      <w:r w:rsidRPr="003C2B75">
        <w:rPr>
          <w:sz w:val="28"/>
          <w:szCs w:val="28"/>
        </w:rPr>
        <w:t xml:space="preserve"> год в сумме </w:t>
      </w:r>
      <w:r w:rsidR="009621BB" w:rsidRPr="003C2B75">
        <w:rPr>
          <w:bCs/>
          <w:sz w:val="28"/>
          <w:szCs w:val="28"/>
        </w:rPr>
        <w:t xml:space="preserve"> </w:t>
      </w:r>
      <w:r w:rsidR="00137F6D" w:rsidRPr="00001849">
        <w:rPr>
          <w:bCs/>
          <w:sz w:val="28"/>
          <w:szCs w:val="28"/>
        </w:rPr>
        <w:t>154 094,6</w:t>
      </w:r>
      <w:r w:rsidR="001E1003" w:rsidRPr="00001849">
        <w:rPr>
          <w:bCs/>
          <w:sz w:val="28"/>
          <w:szCs w:val="28"/>
        </w:rPr>
        <w:t xml:space="preserve"> </w:t>
      </w:r>
      <w:r w:rsidRPr="00001849">
        <w:rPr>
          <w:sz w:val="28"/>
          <w:szCs w:val="28"/>
        </w:rPr>
        <w:t>тыс.</w:t>
      </w:r>
      <w:r w:rsidR="00D07A77" w:rsidRPr="00001849">
        <w:rPr>
          <w:sz w:val="28"/>
          <w:szCs w:val="28"/>
        </w:rPr>
        <w:t xml:space="preserve"> </w:t>
      </w:r>
      <w:r w:rsidRPr="00001849">
        <w:rPr>
          <w:sz w:val="28"/>
          <w:szCs w:val="28"/>
        </w:rPr>
        <w:t>руб</w:t>
      </w:r>
      <w:r w:rsidR="006075D1" w:rsidRPr="00001849">
        <w:rPr>
          <w:sz w:val="28"/>
          <w:szCs w:val="28"/>
        </w:rPr>
        <w:t>лей</w:t>
      </w:r>
      <w:r w:rsidR="00D07A77" w:rsidRPr="00001849">
        <w:rPr>
          <w:sz w:val="28"/>
          <w:szCs w:val="28"/>
        </w:rPr>
        <w:t xml:space="preserve">. Увеличение </w:t>
      </w:r>
      <w:r w:rsidR="004475F4" w:rsidRPr="00001849">
        <w:rPr>
          <w:sz w:val="28"/>
          <w:szCs w:val="28"/>
        </w:rPr>
        <w:t>общего объема расходов местного бюджета 2017 года на                   14 680,7 тыс. рублей планируется за счет остатка средств</w:t>
      </w:r>
      <w:r w:rsidR="004475F4" w:rsidRPr="00D07A77">
        <w:rPr>
          <w:sz w:val="28"/>
          <w:szCs w:val="28"/>
        </w:rPr>
        <w:t xml:space="preserve">  </w:t>
      </w:r>
      <w:r w:rsidR="004475F4">
        <w:rPr>
          <w:sz w:val="28"/>
          <w:szCs w:val="28"/>
        </w:rPr>
        <w:t>на едином счете бюджета Нижнеудинского муниципального образования, сложившегося по состоянию на 01 января 2017 года. Увеличение планируется</w:t>
      </w:r>
      <w:r w:rsidR="004475F4" w:rsidRPr="004475F4">
        <w:rPr>
          <w:sz w:val="28"/>
          <w:szCs w:val="28"/>
        </w:rPr>
        <w:t xml:space="preserve"> </w:t>
      </w:r>
      <w:r w:rsidR="004475F4">
        <w:rPr>
          <w:sz w:val="28"/>
          <w:szCs w:val="28"/>
        </w:rPr>
        <w:t xml:space="preserve">по </w:t>
      </w:r>
      <w:r w:rsidR="00FA791A">
        <w:rPr>
          <w:sz w:val="28"/>
          <w:szCs w:val="28"/>
        </w:rPr>
        <w:t>пяти разделам из десяти:</w:t>
      </w:r>
    </w:p>
    <w:p w:rsidR="003239CC" w:rsidRPr="00FA791A" w:rsidRDefault="003239CC" w:rsidP="004475F4">
      <w:pPr>
        <w:pStyle w:val="a3"/>
        <w:spacing w:line="240" w:lineRule="atLeast"/>
        <w:ind w:firstLine="708"/>
        <w:rPr>
          <w:sz w:val="20"/>
          <w:szCs w:val="20"/>
        </w:rPr>
      </w:pPr>
    </w:p>
    <w:tbl>
      <w:tblPr>
        <w:tblW w:w="9369" w:type="dxa"/>
        <w:tblInd w:w="95" w:type="dxa"/>
        <w:tblLook w:val="04A0"/>
      </w:tblPr>
      <w:tblGrid>
        <w:gridCol w:w="3274"/>
        <w:gridCol w:w="708"/>
        <w:gridCol w:w="1701"/>
        <w:gridCol w:w="1985"/>
        <w:gridCol w:w="1701"/>
      </w:tblGrid>
      <w:tr w:rsidR="00FA791A" w:rsidRPr="00FA791A" w:rsidTr="00FA791A">
        <w:trPr>
          <w:trHeight w:val="3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Утверждено</w:t>
            </w:r>
            <w:r w:rsidR="0090375A">
              <w:rPr>
                <w:sz w:val="20"/>
                <w:szCs w:val="20"/>
              </w:rPr>
              <w:t>, тыс. рублей</w:t>
            </w:r>
            <w:r w:rsidRPr="00FA791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 xml:space="preserve">Проект решения </w:t>
            </w:r>
          </w:p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75A" w:rsidRDefault="00FA791A" w:rsidP="0090375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Изменения</w:t>
            </w:r>
            <w:r w:rsidR="0090375A">
              <w:rPr>
                <w:sz w:val="20"/>
                <w:szCs w:val="20"/>
              </w:rPr>
              <w:t xml:space="preserve">,  </w:t>
            </w:r>
          </w:p>
          <w:p w:rsidR="00FA791A" w:rsidRPr="00FA791A" w:rsidRDefault="0090375A" w:rsidP="00903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  <w:r w:rsidR="00FA791A" w:rsidRPr="00FA791A">
              <w:rPr>
                <w:sz w:val="20"/>
                <w:szCs w:val="20"/>
              </w:rPr>
              <w:t xml:space="preserve">                 </w:t>
            </w:r>
          </w:p>
        </w:tc>
      </w:tr>
      <w:tr w:rsidR="00FA791A" w:rsidRPr="00FA791A" w:rsidTr="00FA791A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5=4-3</w:t>
            </w:r>
          </w:p>
        </w:tc>
      </w:tr>
      <w:tr w:rsidR="00FA791A" w:rsidRPr="00FA791A" w:rsidTr="00FA791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750F8A" w:rsidP="00750F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Общий объем расходов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b/>
                <w:bCs/>
                <w:sz w:val="20"/>
                <w:szCs w:val="20"/>
              </w:rPr>
            </w:pPr>
            <w:r w:rsidRPr="00FA791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b/>
                <w:bCs/>
                <w:sz w:val="20"/>
                <w:szCs w:val="20"/>
              </w:rPr>
            </w:pPr>
            <w:r w:rsidRPr="00FA791A">
              <w:rPr>
                <w:b/>
                <w:bCs/>
                <w:sz w:val="20"/>
                <w:szCs w:val="20"/>
              </w:rPr>
              <w:t>139413,9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b/>
                <w:bCs/>
                <w:sz w:val="20"/>
                <w:szCs w:val="20"/>
              </w:rPr>
            </w:pPr>
            <w:r w:rsidRPr="00FA791A">
              <w:rPr>
                <w:b/>
                <w:bCs/>
                <w:sz w:val="20"/>
                <w:szCs w:val="20"/>
              </w:rPr>
              <w:t>154094,6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b/>
                <w:bCs/>
                <w:sz w:val="20"/>
                <w:szCs w:val="20"/>
              </w:rPr>
            </w:pPr>
            <w:r w:rsidRPr="00FA791A">
              <w:rPr>
                <w:b/>
                <w:bCs/>
                <w:sz w:val="20"/>
                <w:szCs w:val="20"/>
              </w:rPr>
              <w:t>14680,7</w:t>
            </w:r>
          </w:p>
        </w:tc>
      </w:tr>
      <w:tr w:rsidR="00FA791A" w:rsidRPr="00FA791A" w:rsidTr="00FA791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56103,0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59884,0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3781,0</w:t>
            </w:r>
          </w:p>
        </w:tc>
      </w:tr>
      <w:tr w:rsidR="00FA791A" w:rsidRPr="00FA791A" w:rsidTr="00FA791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21924,4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25497,3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3572,9</w:t>
            </w:r>
          </w:p>
        </w:tc>
      </w:tr>
      <w:tr w:rsidR="00FA791A" w:rsidRPr="00FA791A" w:rsidTr="00FA791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18960,1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24139,1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5179,0</w:t>
            </w:r>
          </w:p>
        </w:tc>
      </w:tr>
      <w:tr w:rsidR="00FA791A" w:rsidRPr="00FA791A" w:rsidTr="00FA791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32827,9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34975,1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2147,2</w:t>
            </w:r>
          </w:p>
        </w:tc>
      </w:tr>
      <w:tr w:rsidR="00FA791A" w:rsidRPr="00FA791A" w:rsidTr="00FA791A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91A" w:rsidRPr="00FA791A" w:rsidRDefault="00FA791A" w:rsidP="00FA791A">
            <w:pPr>
              <w:jc w:val="center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4924,4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4925,0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1A" w:rsidRPr="00FA791A" w:rsidRDefault="00FA791A" w:rsidP="00FA791A">
            <w:pPr>
              <w:jc w:val="right"/>
              <w:rPr>
                <w:sz w:val="20"/>
                <w:szCs w:val="20"/>
              </w:rPr>
            </w:pPr>
            <w:r w:rsidRPr="00FA791A">
              <w:rPr>
                <w:sz w:val="20"/>
                <w:szCs w:val="20"/>
              </w:rPr>
              <w:t>0,6</w:t>
            </w:r>
          </w:p>
        </w:tc>
      </w:tr>
    </w:tbl>
    <w:p w:rsidR="003239CC" w:rsidRDefault="003239CC" w:rsidP="00D07A7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A791A" w:rsidRDefault="00FA791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Раздел 0100 «Общегосударственные вопросы»:</w:t>
      </w:r>
      <w:r>
        <w:rPr>
          <w:sz w:val="28"/>
          <w:szCs w:val="28"/>
        </w:rPr>
        <w:t xml:space="preserve"> </w:t>
      </w:r>
      <w:r w:rsidR="0090375A">
        <w:rPr>
          <w:sz w:val="28"/>
          <w:szCs w:val="28"/>
        </w:rPr>
        <w:t xml:space="preserve">предлагается увеличить объем  бюджетных ассигнований </w:t>
      </w:r>
      <w:r>
        <w:rPr>
          <w:sz w:val="28"/>
          <w:szCs w:val="28"/>
        </w:rPr>
        <w:t xml:space="preserve">на </w:t>
      </w:r>
      <w:r w:rsidRPr="00001849">
        <w:rPr>
          <w:sz w:val="28"/>
          <w:szCs w:val="28"/>
        </w:rPr>
        <w:t xml:space="preserve">3773,1 тыс. рублей на выплату заработной платы </w:t>
      </w:r>
      <w:r w:rsidR="0090375A" w:rsidRPr="00001849">
        <w:rPr>
          <w:sz w:val="28"/>
          <w:szCs w:val="28"/>
        </w:rPr>
        <w:t>работникам органов местного самоуправления за ноябрь, первую половину декабря 2017 года; дополнительно 7,9 тыс. рублей</w:t>
      </w:r>
      <w:r w:rsidR="00622FF6">
        <w:rPr>
          <w:b/>
          <w:sz w:val="28"/>
          <w:szCs w:val="28"/>
        </w:rPr>
        <w:t xml:space="preserve"> -</w:t>
      </w:r>
      <w:r w:rsidR="0090375A">
        <w:rPr>
          <w:sz w:val="28"/>
          <w:szCs w:val="28"/>
        </w:rPr>
        <w:t xml:space="preserve"> на оплату программного обеспечения «Антивирус Касперского».</w:t>
      </w:r>
    </w:p>
    <w:p w:rsidR="003239CC" w:rsidRDefault="003239CC" w:rsidP="00D07A7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0375A" w:rsidRPr="00001849" w:rsidRDefault="0090375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Раздел 0400 «Национальная экономика»: предлагается увеличить объем бюджетных ассигнований по указанному разделу на 3572,9 тыс. рублей, в том числе: </w:t>
      </w:r>
    </w:p>
    <w:p w:rsidR="003239CC" w:rsidRDefault="003239CC" w:rsidP="00D07A7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616"/>
        <w:gridCol w:w="1125"/>
        <w:gridCol w:w="1418"/>
        <w:gridCol w:w="1134"/>
      </w:tblGrid>
      <w:tr w:rsidR="0090375A" w:rsidRPr="003239CC" w:rsidTr="0090375A">
        <w:trPr>
          <w:trHeight w:val="60"/>
        </w:trPr>
        <w:tc>
          <w:tcPr>
            <w:tcW w:w="5116" w:type="dxa"/>
            <w:shd w:val="clear" w:color="auto" w:fill="auto"/>
            <w:vAlign w:val="bottom"/>
            <w:hideMark/>
          </w:tcPr>
          <w:p w:rsidR="0090375A" w:rsidRPr="003239CC" w:rsidRDefault="0090375A" w:rsidP="003D79AE">
            <w:pPr>
              <w:rPr>
                <w:i/>
                <w:iCs/>
                <w:sz w:val="20"/>
                <w:szCs w:val="20"/>
              </w:rPr>
            </w:pPr>
            <w:r w:rsidRPr="003239CC">
              <w:rPr>
                <w:i/>
                <w:iCs/>
                <w:sz w:val="20"/>
                <w:szCs w:val="20"/>
              </w:rPr>
              <w:t>Дорожное хозяйство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0375A" w:rsidRPr="003239CC" w:rsidRDefault="0090375A" w:rsidP="003D79AE">
            <w:pPr>
              <w:jc w:val="center"/>
              <w:rPr>
                <w:i/>
                <w:iCs/>
                <w:sz w:val="20"/>
                <w:szCs w:val="20"/>
              </w:rPr>
            </w:pPr>
            <w:r w:rsidRPr="003239CC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0375A" w:rsidRPr="003239CC" w:rsidRDefault="0090375A" w:rsidP="003D79AE">
            <w:pPr>
              <w:jc w:val="right"/>
              <w:rPr>
                <w:i/>
                <w:iCs/>
                <w:sz w:val="20"/>
                <w:szCs w:val="20"/>
              </w:rPr>
            </w:pPr>
            <w:r w:rsidRPr="003239CC">
              <w:rPr>
                <w:i/>
                <w:iCs/>
                <w:sz w:val="20"/>
                <w:szCs w:val="20"/>
              </w:rPr>
              <w:t>21530,1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375A" w:rsidRPr="003239CC" w:rsidRDefault="0090375A" w:rsidP="003D79AE">
            <w:pPr>
              <w:jc w:val="right"/>
              <w:rPr>
                <w:i/>
                <w:iCs/>
                <w:sz w:val="20"/>
                <w:szCs w:val="20"/>
              </w:rPr>
            </w:pPr>
            <w:r w:rsidRPr="003239CC">
              <w:rPr>
                <w:i/>
                <w:iCs/>
                <w:sz w:val="20"/>
                <w:szCs w:val="20"/>
              </w:rPr>
              <w:t>25038,0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375A" w:rsidRPr="003239CC" w:rsidRDefault="0090375A" w:rsidP="003D79AE">
            <w:pPr>
              <w:jc w:val="right"/>
              <w:rPr>
                <w:i/>
                <w:iCs/>
                <w:sz w:val="20"/>
                <w:szCs w:val="20"/>
              </w:rPr>
            </w:pPr>
            <w:r w:rsidRPr="003239CC">
              <w:rPr>
                <w:i/>
                <w:iCs/>
                <w:sz w:val="20"/>
                <w:szCs w:val="20"/>
              </w:rPr>
              <w:t>3507,9</w:t>
            </w:r>
          </w:p>
        </w:tc>
      </w:tr>
      <w:tr w:rsidR="0090375A" w:rsidRPr="00750F8A" w:rsidTr="0090375A">
        <w:trPr>
          <w:trHeight w:val="60"/>
        </w:trPr>
        <w:tc>
          <w:tcPr>
            <w:tcW w:w="5116" w:type="dxa"/>
            <w:shd w:val="clear" w:color="auto" w:fill="auto"/>
            <w:vAlign w:val="bottom"/>
            <w:hideMark/>
          </w:tcPr>
          <w:p w:rsidR="0090375A" w:rsidRPr="00750F8A" w:rsidRDefault="0090375A" w:rsidP="003D79AE">
            <w:pPr>
              <w:rPr>
                <w:color w:val="000000"/>
                <w:sz w:val="20"/>
                <w:szCs w:val="20"/>
              </w:rPr>
            </w:pPr>
            <w:r w:rsidRPr="00750F8A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0375A" w:rsidRPr="00DA1548" w:rsidRDefault="0090375A" w:rsidP="003D79AE">
            <w:pPr>
              <w:jc w:val="center"/>
              <w:rPr>
                <w:bCs/>
                <w:sz w:val="20"/>
                <w:szCs w:val="20"/>
              </w:rPr>
            </w:pPr>
            <w:r w:rsidRPr="00DA1548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7270,1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7288,0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17,9</w:t>
            </w:r>
          </w:p>
        </w:tc>
      </w:tr>
      <w:tr w:rsidR="0090375A" w:rsidRPr="00750F8A" w:rsidTr="0090375A">
        <w:trPr>
          <w:trHeight w:val="564"/>
        </w:trPr>
        <w:tc>
          <w:tcPr>
            <w:tcW w:w="5116" w:type="dxa"/>
            <w:shd w:val="clear" w:color="auto" w:fill="auto"/>
            <w:vAlign w:val="bottom"/>
            <w:hideMark/>
          </w:tcPr>
          <w:p w:rsidR="004475F4" w:rsidRPr="00750F8A" w:rsidRDefault="0090375A" w:rsidP="004475F4">
            <w:pPr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0375A" w:rsidRPr="00750F8A" w:rsidRDefault="0090375A" w:rsidP="003D79AE">
            <w:pPr>
              <w:jc w:val="center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0409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14260,0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17750,0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3490,0</w:t>
            </w:r>
          </w:p>
        </w:tc>
      </w:tr>
      <w:tr w:rsidR="0090375A" w:rsidRPr="004475F4" w:rsidTr="0090375A">
        <w:trPr>
          <w:trHeight w:val="255"/>
        </w:trPr>
        <w:tc>
          <w:tcPr>
            <w:tcW w:w="5116" w:type="dxa"/>
            <w:shd w:val="clear" w:color="auto" w:fill="auto"/>
            <w:vAlign w:val="bottom"/>
            <w:hideMark/>
          </w:tcPr>
          <w:p w:rsidR="0090375A" w:rsidRPr="004475F4" w:rsidRDefault="0090375A" w:rsidP="003D79AE">
            <w:pPr>
              <w:rPr>
                <w:i/>
                <w:iCs/>
                <w:sz w:val="20"/>
                <w:szCs w:val="20"/>
              </w:rPr>
            </w:pPr>
            <w:r w:rsidRPr="004475F4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0375A" w:rsidRPr="004475F4" w:rsidRDefault="0090375A" w:rsidP="003D79AE">
            <w:pPr>
              <w:jc w:val="center"/>
              <w:rPr>
                <w:i/>
                <w:iCs/>
                <w:sz w:val="20"/>
                <w:szCs w:val="20"/>
              </w:rPr>
            </w:pPr>
            <w:r w:rsidRPr="004475F4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0375A" w:rsidRPr="004475F4" w:rsidRDefault="0090375A" w:rsidP="003D79AE">
            <w:pPr>
              <w:jc w:val="right"/>
              <w:rPr>
                <w:i/>
                <w:iCs/>
                <w:sz w:val="20"/>
                <w:szCs w:val="20"/>
              </w:rPr>
            </w:pPr>
            <w:r w:rsidRPr="004475F4">
              <w:rPr>
                <w:i/>
                <w:iCs/>
                <w:sz w:val="20"/>
                <w:szCs w:val="20"/>
              </w:rPr>
              <w:t>265,0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375A" w:rsidRPr="004475F4" w:rsidRDefault="0090375A" w:rsidP="003D79AE">
            <w:pPr>
              <w:jc w:val="right"/>
              <w:rPr>
                <w:i/>
                <w:iCs/>
                <w:sz w:val="20"/>
                <w:szCs w:val="20"/>
              </w:rPr>
            </w:pPr>
            <w:r w:rsidRPr="004475F4"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375A" w:rsidRPr="004475F4" w:rsidRDefault="0090375A" w:rsidP="003D79AE">
            <w:pPr>
              <w:jc w:val="right"/>
              <w:rPr>
                <w:i/>
                <w:sz w:val="20"/>
                <w:szCs w:val="20"/>
              </w:rPr>
            </w:pPr>
            <w:r w:rsidRPr="004475F4">
              <w:rPr>
                <w:i/>
                <w:sz w:val="20"/>
                <w:szCs w:val="20"/>
              </w:rPr>
              <w:t>65,0</w:t>
            </w:r>
          </w:p>
        </w:tc>
      </w:tr>
      <w:tr w:rsidR="0090375A" w:rsidRPr="00750F8A" w:rsidTr="0090375A">
        <w:trPr>
          <w:trHeight w:val="270"/>
        </w:trPr>
        <w:tc>
          <w:tcPr>
            <w:tcW w:w="5116" w:type="dxa"/>
            <w:shd w:val="clear" w:color="auto" w:fill="auto"/>
            <w:vAlign w:val="bottom"/>
            <w:hideMark/>
          </w:tcPr>
          <w:p w:rsidR="0090375A" w:rsidRPr="00750F8A" w:rsidRDefault="0090375A" w:rsidP="003D79AE">
            <w:pPr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0375A" w:rsidRPr="00750F8A" w:rsidRDefault="0090375A" w:rsidP="003D79AE">
            <w:pPr>
              <w:jc w:val="center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0412</w:t>
            </w:r>
          </w:p>
        </w:tc>
        <w:tc>
          <w:tcPr>
            <w:tcW w:w="1125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147,0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212,0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375A" w:rsidRPr="00750F8A" w:rsidRDefault="0090375A" w:rsidP="003D79AE">
            <w:pPr>
              <w:jc w:val="right"/>
              <w:rPr>
                <w:sz w:val="20"/>
                <w:szCs w:val="20"/>
              </w:rPr>
            </w:pPr>
            <w:r w:rsidRPr="00750F8A">
              <w:rPr>
                <w:sz w:val="20"/>
                <w:szCs w:val="20"/>
              </w:rPr>
              <w:t>65,0</w:t>
            </w:r>
          </w:p>
        </w:tc>
      </w:tr>
    </w:tbl>
    <w:p w:rsidR="0090375A" w:rsidRDefault="00DA1548" w:rsidP="00D07A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0409 «Дорожное хозяйство (дорожные фонды</w:t>
      </w:r>
      <w:r w:rsidR="006C4FE6">
        <w:rPr>
          <w:sz w:val="28"/>
          <w:szCs w:val="28"/>
        </w:rPr>
        <w:t>)</w:t>
      </w:r>
      <w:r>
        <w:rPr>
          <w:sz w:val="28"/>
          <w:szCs w:val="28"/>
        </w:rPr>
        <w:t>» на реализацию мероприятий  м</w:t>
      </w:r>
      <w:r w:rsidRPr="00DA154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A1548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DA1548">
        <w:rPr>
          <w:sz w:val="28"/>
          <w:szCs w:val="28"/>
        </w:rPr>
        <w:t xml:space="preserve"> "Комплексное развитие транспортной инфраструктуры Нижнеудинского муниципального образования на период 2017-2025гг."</w:t>
      </w:r>
      <w:r>
        <w:rPr>
          <w:sz w:val="28"/>
          <w:szCs w:val="28"/>
        </w:rPr>
        <w:t xml:space="preserve"> дополнительно предусмотрено 3490,0 тыс. рублей, в </w:t>
      </w:r>
      <w:r w:rsidR="00C44F46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:rsidR="00DA1548" w:rsidRPr="00001849" w:rsidRDefault="00DA1548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- </w:t>
      </w:r>
      <w:r w:rsidR="003239CC" w:rsidRPr="00001849">
        <w:rPr>
          <w:sz w:val="28"/>
          <w:szCs w:val="28"/>
        </w:rPr>
        <w:t>1 250,0 тыс. рублей</w:t>
      </w:r>
      <w:r w:rsidR="006C4FE6" w:rsidRPr="00001849">
        <w:rPr>
          <w:sz w:val="28"/>
          <w:szCs w:val="28"/>
        </w:rPr>
        <w:t xml:space="preserve"> – </w:t>
      </w:r>
      <w:r w:rsidR="003239CC" w:rsidRPr="00001849">
        <w:rPr>
          <w:sz w:val="28"/>
          <w:szCs w:val="28"/>
        </w:rPr>
        <w:t xml:space="preserve"> софинансирование  расходных обязательств за счет средств местного бюджета по реализации мероприятий перечня проектов народных инициатив;</w:t>
      </w:r>
    </w:p>
    <w:p w:rsidR="003239CC" w:rsidRPr="00001849" w:rsidRDefault="003239CC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-2 240,0 тыс. рублей </w:t>
      </w:r>
      <w:r w:rsidR="006C4FE6" w:rsidRPr="00001849">
        <w:rPr>
          <w:sz w:val="28"/>
          <w:szCs w:val="28"/>
        </w:rPr>
        <w:t>–</w:t>
      </w:r>
      <w:r w:rsidRPr="00001849">
        <w:rPr>
          <w:sz w:val="28"/>
          <w:szCs w:val="28"/>
        </w:rPr>
        <w:t xml:space="preserve"> </w:t>
      </w:r>
      <w:r w:rsidR="006C4FE6" w:rsidRPr="00001849">
        <w:rPr>
          <w:sz w:val="28"/>
          <w:szCs w:val="28"/>
        </w:rPr>
        <w:t>на подготовку проектно-сметной документации по капитальному ремонту автомобильных дорог.</w:t>
      </w:r>
    </w:p>
    <w:p w:rsidR="00001849" w:rsidRPr="00001849" w:rsidRDefault="00750F8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Раздел 0500 «Жилищно-коммунальное хозяйство»: предлагается увеличить объем бюджетных ассигнований на 5179,0 тыс. рублей</w:t>
      </w:r>
      <w:r w:rsidR="0072228B">
        <w:rPr>
          <w:sz w:val="28"/>
          <w:szCs w:val="28"/>
        </w:rPr>
        <w:t>:</w:t>
      </w:r>
    </w:p>
    <w:tbl>
      <w:tblPr>
        <w:tblW w:w="9369" w:type="dxa"/>
        <w:tblInd w:w="95" w:type="dxa"/>
        <w:tblLook w:val="04A0"/>
      </w:tblPr>
      <w:tblGrid>
        <w:gridCol w:w="5076"/>
        <w:gridCol w:w="616"/>
        <w:gridCol w:w="1125"/>
        <w:gridCol w:w="1418"/>
        <w:gridCol w:w="1134"/>
      </w:tblGrid>
      <w:tr w:rsidR="00750F8A" w:rsidRPr="009D186E" w:rsidTr="00DA1548">
        <w:trPr>
          <w:trHeight w:val="21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664B67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1220</w:t>
            </w:r>
            <w:r w:rsidR="0061375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61375D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980,0</w:t>
            </w:r>
          </w:p>
        </w:tc>
      </w:tr>
      <w:tr w:rsidR="00664B67" w:rsidRPr="00664B67" w:rsidTr="00DA1548">
        <w:trPr>
          <w:trHeight w:val="21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67" w:rsidRPr="00664B67" w:rsidRDefault="00664B67" w:rsidP="003D79AE">
            <w:pPr>
              <w:rPr>
                <w:bCs/>
                <w:sz w:val="20"/>
                <w:szCs w:val="20"/>
              </w:rPr>
            </w:pPr>
            <w:r w:rsidRPr="00664B67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67" w:rsidRPr="00664B67" w:rsidRDefault="00664B67" w:rsidP="003D79A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67" w:rsidRPr="00664B67" w:rsidRDefault="00664B67" w:rsidP="003D79A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6137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67" w:rsidRPr="00664B67" w:rsidRDefault="00664B67" w:rsidP="003D79A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6137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67" w:rsidRPr="00664B67" w:rsidRDefault="00664B67" w:rsidP="003D79A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</w:tr>
      <w:tr w:rsidR="00664B67" w:rsidRPr="009D186E" w:rsidTr="00DA1548">
        <w:trPr>
          <w:trHeight w:val="21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67" w:rsidRPr="00664B67" w:rsidRDefault="00664B67" w:rsidP="003D79AE">
            <w:pPr>
              <w:rPr>
                <w:bCs/>
                <w:sz w:val="20"/>
                <w:szCs w:val="20"/>
              </w:rPr>
            </w:pPr>
            <w:r w:rsidRPr="00664B67">
              <w:rPr>
                <w:bCs/>
                <w:sz w:val="20"/>
                <w:szCs w:val="20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B67" w:rsidRPr="00664B67" w:rsidRDefault="00664B67" w:rsidP="003D79AE">
            <w:pPr>
              <w:jc w:val="center"/>
              <w:rPr>
                <w:bCs/>
                <w:sz w:val="20"/>
                <w:szCs w:val="20"/>
              </w:rPr>
            </w:pPr>
            <w:r w:rsidRPr="00664B67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67" w:rsidRPr="00664B67" w:rsidRDefault="00664B67" w:rsidP="003D79AE">
            <w:pPr>
              <w:jc w:val="right"/>
              <w:rPr>
                <w:bCs/>
                <w:sz w:val="20"/>
                <w:szCs w:val="20"/>
              </w:rPr>
            </w:pPr>
            <w:r w:rsidRPr="00664B67">
              <w:rPr>
                <w:bCs/>
                <w:sz w:val="20"/>
                <w:szCs w:val="20"/>
              </w:rPr>
              <w:t>0</w:t>
            </w:r>
            <w:r w:rsidR="0061375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67" w:rsidRPr="00664B67" w:rsidRDefault="00664B67" w:rsidP="003D79AE">
            <w:pPr>
              <w:jc w:val="right"/>
              <w:rPr>
                <w:bCs/>
                <w:sz w:val="20"/>
                <w:szCs w:val="20"/>
              </w:rPr>
            </w:pPr>
            <w:r w:rsidRPr="00664B67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B67" w:rsidRPr="00664B67" w:rsidRDefault="00664B67" w:rsidP="003D79AE">
            <w:pPr>
              <w:jc w:val="right"/>
              <w:rPr>
                <w:bCs/>
                <w:sz w:val="20"/>
                <w:szCs w:val="20"/>
              </w:rPr>
            </w:pPr>
            <w:r w:rsidRPr="00664B67">
              <w:rPr>
                <w:bCs/>
                <w:sz w:val="20"/>
                <w:szCs w:val="20"/>
              </w:rPr>
              <w:t>400,0</w:t>
            </w:r>
          </w:p>
        </w:tc>
      </w:tr>
      <w:tr w:rsidR="00750F8A" w:rsidRPr="009D186E" w:rsidTr="00DA1548">
        <w:trPr>
          <w:trHeight w:val="69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Муниципальная программа "Ремонт объектов муниципального жилищного фонда на 2016-2019 гг."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jc w:val="center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500,0</w:t>
            </w:r>
          </w:p>
        </w:tc>
      </w:tr>
      <w:tr w:rsidR="00750F8A" w:rsidRPr="009D186E" w:rsidTr="00DA1548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4916,2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7833,2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2917,0</w:t>
            </w:r>
          </w:p>
        </w:tc>
      </w:tr>
      <w:tr w:rsidR="00750F8A" w:rsidRPr="006C4FE6" w:rsidTr="00DA1548">
        <w:trPr>
          <w:trHeight w:val="19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6C4FE6" w:rsidRDefault="006C4FE6" w:rsidP="003D79AE">
            <w:pPr>
              <w:rPr>
                <w:sz w:val="20"/>
                <w:szCs w:val="20"/>
              </w:rPr>
            </w:pPr>
            <w:r w:rsidRPr="006C4FE6">
              <w:rPr>
                <w:sz w:val="20"/>
                <w:szCs w:val="20"/>
              </w:rPr>
              <w:t>Муниципальная программа  "Программа комплексного развития систем коммунальной инфраструктуры Нижнеудинского муниципального образования на период 2013-2019 гг. и с перспективой до 2025 года"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6C4FE6" w:rsidRDefault="00750F8A" w:rsidP="003D79AE">
            <w:pPr>
              <w:jc w:val="center"/>
              <w:rPr>
                <w:sz w:val="20"/>
                <w:szCs w:val="20"/>
              </w:rPr>
            </w:pPr>
            <w:r w:rsidRPr="006C4FE6">
              <w:rPr>
                <w:sz w:val="20"/>
                <w:szCs w:val="20"/>
              </w:rPr>
              <w:t>0502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6C4FE6" w:rsidRDefault="00750F8A" w:rsidP="003D79AE">
            <w:pPr>
              <w:jc w:val="right"/>
              <w:rPr>
                <w:sz w:val="20"/>
                <w:szCs w:val="20"/>
              </w:rPr>
            </w:pPr>
            <w:r w:rsidRPr="006C4FE6">
              <w:rPr>
                <w:sz w:val="20"/>
                <w:szCs w:val="20"/>
              </w:rPr>
              <w:t>3100,1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6C4FE6" w:rsidRDefault="00750F8A" w:rsidP="003D79AE">
            <w:pPr>
              <w:jc w:val="right"/>
              <w:rPr>
                <w:sz w:val="20"/>
                <w:szCs w:val="20"/>
              </w:rPr>
            </w:pPr>
            <w:r w:rsidRPr="006C4FE6">
              <w:rPr>
                <w:sz w:val="20"/>
                <w:szCs w:val="20"/>
              </w:rPr>
              <w:t>6017,1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6C4FE6" w:rsidRDefault="00750F8A" w:rsidP="003D79AE">
            <w:pPr>
              <w:jc w:val="right"/>
              <w:rPr>
                <w:sz w:val="20"/>
                <w:szCs w:val="20"/>
              </w:rPr>
            </w:pPr>
            <w:r w:rsidRPr="006C4FE6">
              <w:rPr>
                <w:sz w:val="20"/>
                <w:szCs w:val="20"/>
              </w:rPr>
              <w:t>2917,0</w:t>
            </w:r>
          </w:p>
        </w:tc>
      </w:tr>
      <w:tr w:rsidR="00750F8A" w:rsidRPr="009D186E" w:rsidTr="00DA1548">
        <w:trPr>
          <w:trHeight w:val="2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12823,9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14105,9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b/>
                <w:bCs/>
                <w:sz w:val="20"/>
                <w:szCs w:val="20"/>
              </w:rPr>
            </w:pPr>
            <w:r w:rsidRPr="009D186E">
              <w:rPr>
                <w:b/>
                <w:bCs/>
                <w:sz w:val="20"/>
                <w:szCs w:val="20"/>
              </w:rPr>
              <w:t>1282,0</w:t>
            </w:r>
          </w:p>
        </w:tc>
      </w:tr>
      <w:tr w:rsidR="00750F8A" w:rsidRPr="009D186E" w:rsidTr="00DA1548">
        <w:trPr>
          <w:trHeight w:val="671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rPr>
                <w:color w:val="000000"/>
                <w:sz w:val="20"/>
                <w:szCs w:val="20"/>
              </w:rPr>
            </w:pPr>
            <w:r w:rsidRPr="009D186E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F8A" w:rsidRPr="009D186E" w:rsidRDefault="00750F8A" w:rsidP="003D79AE">
            <w:pPr>
              <w:jc w:val="center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7256,9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8538,9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F8A" w:rsidRPr="009D186E" w:rsidRDefault="00750F8A" w:rsidP="003D79AE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1282,0</w:t>
            </w:r>
          </w:p>
        </w:tc>
      </w:tr>
    </w:tbl>
    <w:p w:rsidR="0061375D" w:rsidRDefault="00DA1548" w:rsidP="00DA1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0501 «Жилищное  хозяйство»</w:t>
      </w:r>
      <w:r w:rsidR="0061375D">
        <w:rPr>
          <w:sz w:val="28"/>
          <w:szCs w:val="28"/>
        </w:rPr>
        <w:t xml:space="preserve"> дополнительно предусмотрено:</w:t>
      </w:r>
    </w:p>
    <w:p w:rsidR="0061375D" w:rsidRDefault="0061375D" w:rsidP="00DA1548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- 80,0 тыс. рублей –</w:t>
      </w:r>
      <w:r>
        <w:rPr>
          <w:sz w:val="28"/>
          <w:szCs w:val="28"/>
        </w:rPr>
        <w:t xml:space="preserve"> на проведение экспертизы ветхого и аварийного </w:t>
      </w:r>
      <w:r w:rsidR="006C4FE6">
        <w:rPr>
          <w:sz w:val="28"/>
          <w:szCs w:val="28"/>
        </w:rPr>
        <w:t>жилого фонда</w:t>
      </w:r>
      <w:r>
        <w:rPr>
          <w:sz w:val="28"/>
          <w:szCs w:val="28"/>
        </w:rPr>
        <w:t xml:space="preserve"> в Нижнеудинском муниципальном образовании;</w:t>
      </w:r>
    </w:p>
    <w:p w:rsidR="0061375D" w:rsidRDefault="0061375D" w:rsidP="00DA1548">
      <w:pPr>
        <w:pStyle w:val="ConsPlusNormal"/>
        <w:ind w:firstLine="540"/>
        <w:jc w:val="both"/>
        <w:rPr>
          <w:bCs/>
          <w:sz w:val="28"/>
          <w:szCs w:val="28"/>
        </w:rPr>
      </w:pPr>
      <w:r w:rsidRPr="00001849">
        <w:rPr>
          <w:sz w:val="28"/>
          <w:szCs w:val="28"/>
        </w:rPr>
        <w:t>- 400,0 тыс. рублей – на</w:t>
      </w:r>
      <w:r>
        <w:rPr>
          <w:sz w:val="28"/>
          <w:szCs w:val="28"/>
        </w:rPr>
        <w:t xml:space="preserve"> снос аварийного жилья в рамках реализации </w:t>
      </w:r>
      <w:r w:rsidRPr="0061375D">
        <w:rPr>
          <w:sz w:val="28"/>
          <w:szCs w:val="28"/>
        </w:rPr>
        <w:t>мероприятий м</w:t>
      </w:r>
      <w:r w:rsidRPr="0061375D">
        <w:rPr>
          <w:bCs/>
          <w:sz w:val="28"/>
          <w:szCs w:val="28"/>
        </w:rPr>
        <w:t>униципальной программы "Переселение граждан из ветхого и аварийного жилищного фонда в Нижнеудинском муниципальном образовании до 2020г."</w:t>
      </w:r>
      <w:r>
        <w:rPr>
          <w:bCs/>
          <w:sz w:val="28"/>
          <w:szCs w:val="28"/>
        </w:rPr>
        <w:t>;</w:t>
      </w:r>
    </w:p>
    <w:p w:rsidR="005158EE" w:rsidRPr="005158EE" w:rsidRDefault="0061375D" w:rsidP="005158EE">
      <w:pPr>
        <w:pStyle w:val="a3"/>
        <w:spacing w:line="240" w:lineRule="auto"/>
        <w:ind w:firstLine="708"/>
        <w:rPr>
          <w:sz w:val="28"/>
          <w:szCs w:val="28"/>
        </w:rPr>
      </w:pPr>
      <w:r w:rsidRPr="00001849">
        <w:rPr>
          <w:bCs/>
          <w:sz w:val="28"/>
          <w:szCs w:val="28"/>
        </w:rPr>
        <w:lastRenderedPageBreak/>
        <w:t xml:space="preserve">- </w:t>
      </w:r>
      <w:r w:rsidR="00DA1548" w:rsidRPr="00001849">
        <w:rPr>
          <w:sz w:val="28"/>
          <w:szCs w:val="28"/>
        </w:rPr>
        <w:t>500,0 тыс. рублей</w:t>
      </w:r>
      <w:r w:rsidR="005158EE" w:rsidRPr="00001849">
        <w:rPr>
          <w:sz w:val="28"/>
          <w:szCs w:val="28"/>
        </w:rPr>
        <w:t xml:space="preserve"> на</w:t>
      </w:r>
      <w:r w:rsidR="005158EE" w:rsidRPr="005158EE">
        <w:rPr>
          <w:sz w:val="28"/>
          <w:szCs w:val="28"/>
        </w:rPr>
        <w:t xml:space="preserve"> уплату взносов  специализированной некоммерческой организации «Фонд капитального ремонта многоквартирных домов Иркутской области» в рамках  реализации мероприятий муниципальной программы «Ремонт объектов муниципального жилищного фонда на 2016-2019гг.». </w:t>
      </w:r>
    </w:p>
    <w:p w:rsidR="00DA1548" w:rsidRPr="00001849" w:rsidRDefault="00DA1548" w:rsidP="00DA1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0502 «Коммунальное хозяйство» на реализацию мероприятий  м</w:t>
      </w:r>
      <w:r w:rsidRPr="00DA1548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A1548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DA1548">
        <w:rPr>
          <w:sz w:val="28"/>
          <w:szCs w:val="28"/>
        </w:rPr>
        <w:t xml:space="preserve"> </w:t>
      </w:r>
      <w:r w:rsidR="006C4FE6" w:rsidRPr="006C4FE6">
        <w:rPr>
          <w:sz w:val="28"/>
          <w:szCs w:val="28"/>
        </w:rPr>
        <w:t xml:space="preserve">"Программа комплексного развития систем коммунальной инфраструктуры Нижнеудинского муниципального образования на период 2013-2019 гг. и с перспективой до </w:t>
      </w:r>
      <w:r w:rsidR="006C4FE6" w:rsidRPr="00001849">
        <w:rPr>
          <w:sz w:val="28"/>
          <w:szCs w:val="28"/>
        </w:rPr>
        <w:t xml:space="preserve">2025 года" </w:t>
      </w:r>
      <w:r w:rsidRPr="00001849">
        <w:rPr>
          <w:sz w:val="28"/>
          <w:szCs w:val="28"/>
        </w:rPr>
        <w:t xml:space="preserve">дополнительно предусмотрено 2917,0 тыс. рублей, </w:t>
      </w:r>
      <w:r w:rsidR="00C44F46">
        <w:rPr>
          <w:sz w:val="28"/>
          <w:szCs w:val="28"/>
        </w:rPr>
        <w:t>в том числе</w:t>
      </w:r>
      <w:r w:rsidRPr="00001849">
        <w:rPr>
          <w:sz w:val="28"/>
          <w:szCs w:val="28"/>
        </w:rPr>
        <w:t>:</w:t>
      </w:r>
    </w:p>
    <w:p w:rsidR="00DA1548" w:rsidRPr="00001849" w:rsidRDefault="00DA1548" w:rsidP="00DA1548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-</w:t>
      </w:r>
      <w:r w:rsidR="0061375D" w:rsidRPr="00001849">
        <w:rPr>
          <w:sz w:val="28"/>
          <w:szCs w:val="28"/>
        </w:rPr>
        <w:t xml:space="preserve"> 2000,0 тыс. рублей  </w:t>
      </w:r>
      <w:r w:rsidR="005158EE" w:rsidRPr="00001849">
        <w:rPr>
          <w:sz w:val="28"/>
          <w:szCs w:val="28"/>
        </w:rPr>
        <w:t>-</w:t>
      </w:r>
      <w:r w:rsidR="0061375D" w:rsidRPr="00001849">
        <w:rPr>
          <w:sz w:val="28"/>
          <w:szCs w:val="28"/>
        </w:rPr>
        <w:t xml:space="preserve"> на реализацию мероприятий по подготовке объектов коммунальной инфраструктуры к отопительному сезону;</w:t>
      </w:r>
    </w:p>
    <w:p w:rsidR="0061375D" w:rsidRPr="00001849" w:rsidRDefault="0061375D" w:rsidP="00DA1548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- 417,0 тыс. рублей </w:t>
      </w:r>
      <w:r w:rsidR="005158EE" w:rsidRPr="00001849">
        <w:rPr>
          <w:sz w:val="28"/>
          <w:szCs w:val="28"/>
        </w:rPr>
        <w:t>-</w:t>
      </w:r>
      <w:r w:rsidRPr="00001849">
        <w:rPr>
          <w:sz w:val="28"/>
          <w:szCs w:val="28"/>
        </w:rPr>
        <w:t xml:space="preserve"> на реконструкцию системы теплоснабжения города;</w:t>
      </w:r>
    </w:p>
    <w:p w:rsidR="0061375D" w:rsidRPr="00001849" w:rsidRDefault="0061375D" w:rsidP="00DA1548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- 500,0 тыс. рублей  - устройство водонапорных башен.</w:t>
      </w:r>
    </w:p>
    <w:p w:rsidR="006C4FE6" w:rsidRPr="003C2B75" w:rsidRDefault="00750F8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Раздел 0800 «Культура, кинематография»: предлагается к утверждению объем бюджетных ассигнованием с увеличением на 2147,2 тыс. рублей</w:t>
      </w:r>
      <w:r w:rsidR="00C44F46">
        <w:rPr>
          <w:sz w:val="28"/>
          <w:szCs w:val="28"/>
        </w:rPr>
        <w:t>:</w:t>
      </w:r>
    </w:p>
    <w:tbl>
      <w:tblPr>
        <w:tblW w:w="9369" w:type="dxa"/>
        <w:tblInd w:w="95" w:type="dxa"/>
        <w:tblLook w:val="04A0"/>
      </w:tblPr>
      <w:tblGrid>
        <w:gridCol w:w="5076"/>
        <w:gridCol w:w="616"/>
        <w:gridCol w:w="1125"/>
        <w:gridCol w:w="1418"/>
        <w:gridCol w:w="1134"/>
      </w:tblGrid>
      <w:tr w:rsidR="00137F6D" w:rsidRPr="009D186E" w:rsidTr="009D186E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F6D" w:rsidRPr="009D186E" w:rsidRDefault="00137F6D" w:rsidP="00137F6D">
            <w:pPr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F6D" w:rsidRPr="009D186E" w:rsidRDefault="00137F6D" w:rsidP="00137F6D">
            <w:pPr>
              <w:jc w:val="center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30953,5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31054,2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100,7</w:t>
            </w:r>
          </w:p>
        </w:tc>
      </w:tr>
      <w:tr w:rsidR="00137F6D" w:rsidRPr="009D186E" w:rsidTr="009D186E">
        <w:trPr>
          <w:trHeight w:val="15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F6D" w:rsidRPr="009D186E" w:rsidRDefault="00137F6D" w:rsidP="00137F6D">
            <w:pPr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Ведомственная целевая программа "Текущий ремонт учреждений культуры Нижнеудинского муниципального образования на 2014-2016гг."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F6D" w:rsidRPr="009D186E" w:rsidRDefault="00137F6D" w:rsidP="00137F6D">
            <w:pPr>
              <w:jc w:val="center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240,0</w:t>
            </w:r>
          </w:p>
        </w:tc>
      </w:tr>
      <w:tr w:rsidR="00137F6D" w:rsidRPr="009D186E" w:rsidTr="009D186E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F6D" w:rsidRPr="009D186E" w:rsidRDefault="00137F6D" w:rsidP="00137F6D">
            <w:pPr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F6D" w:rsidRPr="009D186E" w:rsidRDefault="00137F6D" w:rsidP="00137F6D">
            <w:pPr>
              <w:jc w:val="center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46,4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1852,9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6D" w:rsidRPr="009D186E" w:rsidRDefault="00137F6D" w:rsidP="00137F6D">
            <w:pPr>
              <w:jc w:val="right"/>
              <w:rPr>
                <w:sz w:val="20"/>
                <w:szCs w:val="20"/>
              </w:rPr>
            </w:pPr>
            <w:r w:rsidRPr="009D186E">
              <w:rPr>
                <w:sz w:val="20"/>
                <w:szCs w:val="20"/>
              </w:rPr>
              <w:t>1806,5</w:t>
            </w:r>
          </w:p>
        </w:tc>
      </w:tr>
    </w:tbl>
    <w:p w:rsidR="00137F6D" w:rsidRPr="00001849" w:rsidRDefault="009D186E" w:rsidP="009D186E">
      <w:pPr>
        <w:ind w:firstLine="708"/>
        <w:jc w:val="both"/>
        <w:rPr>
          <w:sz w:val="28"/>
          <w:szCs w:val="28"/>
        </w:rPr>
      </w:pPr>
      <w:r w:rsidRPr="009D186E">
        <w:rPr>
          <w:sz w:val="28"/>
          <w:szCs w:val="28"/>
        </w:rPr>
        <w:t>Подраздел 0801 «</w:t>
      </w:r>
      <w:r w:rsidR="00FA53A0">
        <w:rPr>
          <w:sz w:val="28"/>
          <w:szCs w:val="28"/>
        </w:rPr>
        <w:t>Культура</w:t>
      </w:r>
      <w:r w:rsidRPr="009D186E">
        <w:rPr>
          <w:sz w:val="28"/>
          <w:szCs w:val="28"/>
        </w:rPr>
        <w:t>»:</w:t>
      </w:r>
      <w:r w:rsidR="00FA53A0">
        <w:rPr>
          <w:sz w:val="28"/>
          <w:szCs w:val="28"/>
        </w:rPr>
        <w:t xml:space="preserve"> </w:t>
      </w:r>
      <w:r w:rsidRPr="009D186E">
        <w:rPr>
          <w:sz w:val="28"/>
          <w:szCs w:val="28"/>
        </w:rPr>
        <w:t xml:space="preserve">дополнительно предусмотрены бюджетные </w:t>
      </w:r>
      <w:r w:rsidRPr="00001849">
        <w:rPr>
          <w:sz w:val="28"/>
          <w:szCs w:val="28"/>
        </w:rPr>
        <w:t xml:space="preserve">ассигнования в объеме 11,8 тыс. рублей на создание и обслуживание официального сайта МКУ «Централизованная библиотечная система», 88,9 тыс. рублей </w:t>
      </w:r>
      <w:r w:rsidR="00AA4CA2" w:rsidRPr="00001849">
        <w:rPr>
          <w:sz w:val="28"/>
          <w:szCs w:val="28"/>
        </w:rPr>
        <w:t xml:space="preserve">для </w:t>
      </w:r>
      <w:r w:rsidRPr="00001849">
        <w:rPr>
          <w:sz w:val="28"/>
          <w:szCs w:val="28"/>
        </w:rPr>
        <w:t xml:space="preserve">МКУ «Музейно-культурный центр»  на оплату коммунальных услуг и </w:t>
      </w:r>
      <w:r w:rsidR="00AA4CA2" w:rsidRPr="00001849">
        <w:rPr>
          <w:sz w:val="28"/>
          <w:szCs w:val="28"/>
        </w:rPr>
        <w:t>поверку теплосчетчиков</w:t>
      </w:r>
      <w:r w:rsidR="00FA53A0" w:rsidRPr="00001849">
        <w:rPr>
          <w:sz w:val="28"/>
          <w:szCs w:val="28"/>
        </w:rPr>
        <w:t>.</w:t>
      </w:r>
    </w:p>
    <w:p w:rsidR="00FA53A0" w:rsidRPr="00001849" w:rsidRDefault="004475F4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По п</w:t>
      </w:r>
      <w:r w:rsidR="00FA53A0" w:rsidRPr="00001849">
        <w:rPr>
          <w:sz w:val="28"/>
          <w:szCs w:val="28"/>
        </w:rPr>
        <w:t>одраздел</w:t>
      </w:r>
      <w:r w:rsidR="00C44F46">
        <w:rPr>
          <w:sz w:val="28"/>
          <w:szCs w:val="28"/>
        </w:rPr>
        <w:t>у</w:t>
      </w:r>
      <w:r w:rsidR="00FA53A0" w:rsidRPr="00001849">
        <w:rPr>
          <w:sz w:val="28"/>
          <w:szCs w:val="28"/>
        </w:rPr>
        <w:t xml:space="preserve"> 0804 «Другие вопросы в области культуры, кинематографии»</w:t>
      </w:r>
      <w:r w:rsidRPr="00001849">
        <w:rPr>
          <w:sz w:val="28"/>
          <w:szCs w:val="28"/>
        </w:rPr>
        <w:t xml:space="preserve"> предусмотрено</w:t>
      </w:r>
      <w:r w:rsidR="00FA53A0" w:rsidRPr="00001849">
        <w:rPr>
          <w:sz w:val="28"/>
          <w:szCs w:val="28"/>
        </w:rPr>
        <w:t>:</w:t>
      </w:r>
    </w:p>
    <w:p w:rsidR="00AA4CA2" w:rsidRPr="00001849" w:rsidRDefault="00AA4CA2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- 240,0 тыс.</w:t>
      </w:r>
      <w:r w:rsidR="00FA53A0" w:rsidRPr="00001849">
        <w:rPr>
          <w:sz w:val="28"/>
          <w:szCs w:val="28"/>
        </w:rPr>
        <w:t xml:space="preserve"> рублей </w:t>
      </w:r>
      <w:r w:rsidRPr="00001849">
        <w:rPr>
          <w:sz w:val="28"/>
          <w:szCs w:val="28"/>
        </w:rPr>
        <w:t>–</w:t>
      </w:r>
      <w:r w:rsidR="003239CC" w:rsidRPr="00001849">
        <w:rPr>
          <w:sz w:val="28"/>
          <w:szCs w:val="28"/>
        </w:rPr>
        <w:t xml:space="preserve"> </w:t>
      </w:r>
      <w:r w:rsidRPr="00001849">
        <w:rPr>
          <w:sz w:val="28"/>
          <w:szCs w:val="28"/>
        </w:rPr>
        <w:t>софинансировани</w:t>
      </w:r>
      <w:r w:rsidR="003239CC" w:rsidRPr="00001849">
        <w:rPr>
          <w:sz w:val="28"/>
          <w:szCs w:val="28"/>
        </w:rPr>
        <w:t>е</w:t>
      </w:r>
      <w:r w:rsidRPr="00001849">
        <w:rPr>
          <w:sz w:val="28"/>
          <w:szCs w:val="28"/>
        </w:rPr>
        <w:t xml:space="preserve">  расходных обязательств за счет средств местного бюджета  в рамках областной программы «100 модельных домов Иркутской области»;</w:t>
      </w:r>
    </w:p>
    <w:p w:rsidR="00AA4CA2" w:rsidRPr="009D186E" w:rsidRDefault="00AA4CA2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- </w:t>
      </w:r>
      <w:r w:rsidR="00FA53A0" w:rsidRPr="00001849">
        <w:rPr>
          <w:sz w:val="28"/>
          <w:szCs w:val="28"/>
        </w:rPr>
        <w:t>1806,5 тыс. рублей –</w:t>
      </w:r>
      <w:r w:rsidR="003239CC" w:rsidRPr="00001849">
        <w:rPr>
          <w:sz w:val="28"/>
          <w:szCs w:val="28"/>
        </w:rPr>
        <w:t xml:space="preserve"> </w:t>
      </w:r>
      <w:r w:rsidR="00FA53A0" w:rsidRPr="00001849">
        <w:rPr>
          <w:sz w:val="28"/>
          <w:szCs w:val="28"/>
        </w:rPr>
        <w:t>софинансировани</w:t>
      </w:r>
      <w:r w:rsidR="003239CC" w:rsidRPr="00001849">
        <w:rPr>
          <w:sz w:val="28"/>
          <w:szCs w:val="28"/>
        </w:rPr>
        <w:t>е</w:t>
      </w:r>
      <w:r w:rsidR="00FA53A0" w:rsidRPr="00001849">
        <w:rPr>
          <w:sz w:val="28"/>
          <w:szCs w:val="28"/>
        </w:rPr>
        <w:t xml:space="preserve">  расходных обязательств за счет средств местного бюджета по капитальному ремонту здания ГДК, включенного Министерством строительства, дорожного</w:t>
      </w:r>
      <w:r w:rsidR="00FA53A0">
        <w:rPr>
          <w:sz w:val="28"/>
          <w:szCs w:val="28"/>
        </w:rPr>
        <w:t xml:space="preserve"> хозяйства Иркутской области в декабре 2016 года в Перечень мероприятий по капитальному ремонту объектов муниципальной собственности в сфере культуры (Распоряжение №282-мр).</w:t>
      </w:r>
    </w:p>
    <w:p w:rsidR="00137F6D" w:rsidRPr="004475F4" w:rsidRDefault="004475F4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Раздел 1100 «Физическая культура и спорт»: дополнительно предусмотрены бюджетные ассигнования в объеме 0,6 тыс. рублей на софинансирование расходных обязательств за счет средств местного бюджета по строительству физкультурно-оздоровительного комплекса</w:t>
      </w:r>
      <w:r>
        <w:rPr>
          <w:sz w:val="28"/>
          <w:szCs w:val="28"/>
        </w:rPr>
        <w:t xml:space="preserve"> в городе Нижнеудинске.</w:t>
      </w:r>
    </w:p>
    <w:p w:rsidR="00823951" w:rsidRPr="0020018A" w:rsidRDefault="00823951" w:rsidP="00823951">
      <w:pPr>
        <w:rPr>
          <w:sz w:val="20"/>
          <w:szCs w:val="20"/>
        </w:rPr>
      </w:pPr>
    </w:p>
    <w:p w:rsidR="00F12720" w:rsidRPr="00F12720" w:rsidRDefault="000E5E30" w:rsidP="00F127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070C3">
        <w:rPr>
          <w:sz w:val="28"/>
          <w:szCs w:val="28"/>
        </w:rPr>
        <w:lastRenderedPageBreak/>
        <w:t>С учетом вн</w:t>
      </w:r>
      <w:r w:rsidR="005333B5" w:rsidRPr="00A070C3">
        <w:rPr>
          <w:sz w:val="28"/>
          <w:szCs w:val="28"/>
        </w:rPr>
        <w:t>осимых</w:t>
      </w:r>
      <w:r w:rsidRPr="00A070C3">
        <w:rPr>
          <w:sz w:val="28"/>
          <w:szCs w:val="28"/>
        </w:rPr>
        <w:t xml:space="preserve"> изменений </w:t>
      </w:r>
      <w:r w:rsidR="00697DF3" w:rsidRPr="00A070C3">
        <w:rPr>
          <w:sz w:val="28"/>
          <w:szCs w:val="28"/>
        </w:rPr>
        <w:t xml:space="preserve">дефицит местного бюджета </w:t>
      </w:r>
      <w:r w:rsidR="00E22E0E" w:rsidRPr="00A070C3">
        <w:rPr>
          <w:sz w:val="28"/>
          <w:szCs w:val="28"/>
        </w:rPr>
        <w:t>по сравнению с ранее утвержденным бюджетом 201</w:t>
      </w:r>
      <w:r w:rsidR="004475F4">
        <w:rPr>
          <w:sz w:val="28"/>
          <w:szCs w:val="28"/>
        </w:rPr>
        <w:t>7</w:t>
      </w:r>
      <w:r w:rsidR="00E22E0E" w:rsidRPr="00A070C3">
        <w:rPr>
          <w:sz w:val="28"/>
          <w:szCs w:val="28"/>
        </w:rPr>
        <w:t xml:space="preserve"> год</w:t>
      </w:r>
      <w:r w:rsidR="005333B5" w:rsidRPr="00A070C3">
        <w:rPr>
          <w:sz w:val="28"/>
          <w:szCs w:val="28"/>
        </w:rPr>
        <w:t>а</w:t>
      </w:r>
      <w:r w:rsidR="00E22E0E" w:rsidRPr="00A070C3">
        <w:rPr>
          <w:sz w:val="28"/>
          <w:szCs w:val="28"/>
        </w:rPr>
        <w:t xml:space="preserve"> </w:t>
      </w:r>
      <w:r w:rsidR="004475F4">
        <w:rPr>
          <w:sz w:val="28"/>
          <w:szCs w:val="28"/>
        </w:rPr>
        <w:t xml:space="preserve">увеличен на </w:t>
      </w:r>
      <w:r w:rsidR="00C5076E">
        <w:rPr>
          <w:sz w:val="28"/>
          <w:szCs w:val="28"/>
        </w:rPr>
        <w:t>14 680,7</w:t>
      </w:r>
      <w:r w:rsidR="00334B64" w:rsidRPr="00A070C3">
        <w:rPr>
          <w:sz w:val="28"/>
          <w:szCs w:val="28"/>
        </w:rPr>
        <w:t xml:space="preserve"> тыс. рублей и </w:t>
      </w:r>
      <w:r w:rsidR="00697DF3" w:rsidRPr="00A070C3">
        <w:rPr>
          <w:sz w:val="28"/>
          <w:szCs w:val="28"/>
        </w:rPr>
        <w:t>предлагается</w:t>
      </w:r>
      <w:r w:rsidR="00334B64" w:rsidRPr="00A070C3">
        <w:rPr>
          <w:sz w:val="28"/>
          <w:szCs w:val="28"/>
        </w:rPr>
        <w:t xml:space="preserve">  </w:t>
      </w:r>
      <w:r w:rsidR="00697DF3" w:rsidRPr="00A070C3">
        <w:rPr>
          <w:sz w:val="28"/>
          <w:szCs w:val="28"/>
        </w:rPr>
        <w:t xml:space="preserve">к утверждению в размере </w:t>
      </w:r>
      <w:r w:rsidR="00C5076E" w:rsidRPr="00F12720">
        <w:rPr>
          <w:sz w:val="28"/>
          <w:szCs w:val="28"/>
        </w:rPr>
        <w:t>19</w:t>
      </w:r>
      <w:r w:rsidR="00F12720" w:rsidRPr="00F12720">
        <w:rPr>
          <w:sz w:val="28"/>
          <w:szCs w:val="28"/>
        </w:rPr>
        <w:t xml:space="preserve"> </w:t>
      </w:r>
      <w:r w:rsidR="00C5076E" w:rsidRPr="00F12720">
        <w:rPr>
          <w:sz w:val="28"/>
          <w:szCs w:val="28"/>
        </w:rPr>
        <w:t>587,3</w:t>
      </w:r>
      <w:r w:rsidR="003D3949" w:rsidRPr="00F12720">
        <w:rPr>
          <w:sz w:val="28"/>
          <w:szCs w:val="28"/>
        </w:rPr>
        <w:t xml:space="preserve"> </w:t>
      </w:r>
      <w:r w:rsidR="004B6956" w:rsidRPr="00F12720">
        <w:rPr>
          <w:sz w:val="28"/>
          <w:szCs w:val="28"/>
        </w:rPr>
        <w:t>тыс.</w:t>
      </w:r>
      <w:r w:rsidR="00E22E0E" w:rsidRPr="00F12720">
        <w:rPr>
          <w:sz w:val="28"/>
          <w:szCs w:val="28"/>
        </w:rPr>
        <w:t xml:space="preserve"> </w:t>
      </w:r>
      <w:r w:rsidR="004B6956" w:rsidRPr="00F12720">
        <w:rPr>
          <w:sz w:val="28"/>
          <w:szCs w:val="28"/>
        </w:rPr>
        <w:t>руб</w:t>
      </w:r>
      <w:r w:rsidR="00E22E0E" w:rsidRPr="00F12720">
        <w:rPr>
          <w:sz w:val="28"/>
          <w:szCs w:val="28"/>
        </w:rPr>
        <w:t xml:space="preserve">лей </w:t>
      </w:r>
      <w:r w:rsidR="004B6956" w:rsidRPr="00F12720">
        <w:rPr>
          <w:sz w:val="28"/>
          <w:szCs w:val="28"/>
        </w:rPr>
        <w:t xml:space="preserve"> или </w:t>
      </w:r>
      <w:r w:rsidR="00C5076E" w:rsidRPr="00F12720">
        <w:rPr>
          <w:sz w:val="28"/>
          <w:szCs w:val="28"/>
        </w:rPr>
        <w:t>14,7</w:t>
      </w:r>
      <w:r w:rsidR="005211B0" w:rsidRPr="00F12720">
        <w:rPr>
          <w:sz w:val="28"/>
          <w:szCs w:val="28"/>
        </w:rPr>
        <w:t>%</w:t>
      </w:r>
      <w:r w:rsidR="00697DF3" w:rsidRPr="00A070C3">
        <w:rPr>
          <w:sz w:val="28"/>
          <w:szCs w:val="28"/>
        </w:rPr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A070C3">
        <w:rPr>
          <w:sz w:val="28"/>
          <w:szCs w:val="28"/>
        </w:rPr>
        <w:t>,</w:t>
      </w:r>
      <w:r w:rsidR="00B7218E" w:rsidRPr="00A070C3">
        <w:rPr>
          <w:sz w:val="28"/>
          <w:szCs w:val="28"/>
        </w:rPr>
        <w:t xml:space="preserve"> </w:t>
      </w:r>
      <w:r w:rsidR="00F12720" w:rsidRPr="00F12720">
        <w:rPr>
          <w:sz w:val="28"/>
          <w:szCs w:val="28"/>
        </w:rPr>
        <w:t xml:space="preserve">что на </w:t>
      </w:r>
      <w:r w:rsidR="00F12720">
        <w:rPr>
          <w:sz w:val="28"/>
          <w:szCs w:val="28"/>
        </w:rPr>
        <w:t>6 293,4</w:t>
      </w:r>
      <w:r w:rsidR="00F12720" w:rsidRPr="00F12720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F12720" w:rsidRPr="00F12720">
        <w:rPr>
          <w:sz w:val="28"/>
          <w:szCs w:val="28"/>
          <w:lang w:eastAsia="en-US"/>
        </w:rPr>
        <w:t xml:space="preserve">снижения остатков средств на счетах по учету средств местного бюджета по состоянию на </w:t>
      </w:r>
      <w:r w:rsidR="00F12720">
        <w:rPr>
          <w:sz w:val="28"/>
          <w:szCs w:val="28"/>
          <w:lang w:eastAsia="en-US"/>
        </w:rPr>
        <w:t>01 января 2017 года.</w:t>
      </w:r>
    </w:p>
    <w:p w:rsidR="00A070C3" w:rsidRDefault="00A070C3" w:rsidP="00DB1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1A67" w:rsidRPr="00A070C3" w:rsidRDefault="00CC7479" w:rsidP="00DB1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70C3">
        <w:rPr>
          <w:sz w:val="28"/>
          <w:szCs w:val="28"/>
        </w:rPr>
        <w:t>Данный проект решения Думы Нижнеудинского муниципального образования рекомендован к рассмотрению.</w:t>
      </w:r>
    </w:p>
    <w:p w:rsidR="00DB1A39" w:rsidRPr="00A070C3" w:rsidRDefault="00DB1A39">
      <w:pPr>
        <w:pStyle w:val="a3"/>
        <w:spacing w:line="240" w:lineRule="atLeast"/>
        <w:rPr>
          <w:sz w:val="28"/>
          <w:szCs w:val="28"/>
        </w:rPr>
      </w:pPr>
    </w:p>
    <w:p w:rsidR="00F12720" w:rsidRDefault="00F12720">
      <w:pPr>
        <w:pStyle w:val="a3"/>
        <w:spacing w:line="240" w:lineRule="atLeast"/>
        <w:rPr>
          <w:sz w:val="28"/>
          <w:szCs w:val="28"/>
        </w:rPr>
      </w:pPr>
    </w:p>
    <w:p w:rsidR="00F12720" w:rsidRDefault="00F12720">
      <w:pPr>
        <w:pStyle w:val="a3"/>
        <w:spacing w:line="240" w:lineRule="atLeast"/>
        <w:rPr>
          <w:sz w:val="28"/>
          <w:szCs w:val="28"/>
        </w:rPr>
      </w:pPr>
    </w:p>
    <w:p w:rsidR="00E138FF" w:rsidRDefault="00E138FF">
      <w:pPr>
        <w:pStyle w:val="a3"/>
        <w:spacing w:line="240" w:lineRule="atLeast"/>
        <w:rPr>
          <w:sz w:val="28"/>
          <w:szCs w:val="28"/>
        </w:rPr>
      </w:pPr>
      <w:r w:rsidRPr="00A070C3">
        <w:rPr>
          <w:sz w:val="28"/>
          <w:szCs w:val="28"/>
        </w:rPr>
        <w:t>Председатель                                                                                    Е.И.Самохина</w:t>
      </w:r>
    </w:p>
    <w:p w:rsidR="004475F4" w:rsidRDefault="004475F4">
      <w:pPr>
        <w:pStyle w:val="a3"/>
        <w:spacing w:line="240" w:lineRule="atLeast"/>
        <w:rPr>
          <w:sz w:val="28"/>
          <w:szCs w:val="28"/>
        </w:rPr>
      </w:pPr>
    </w:p>
    <w:sectPr w:rsidR="004475F4" w:rsidSect="00257B0B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52" w:rsidRDefault="00011052" w:rsidP="002A38A3">
      <w:r>
        <w:separator/>
      </w:r>
    </w:p>
  </w:endnote>
  <w:endnote w:type="continuationSeparator" w:id="1">
    <w:p w:rsidR="00011052" w:rsidRDefault="00011052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6D" w:rsidRDefault="00393EB6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F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7F6D" w:rsidRDefault="00137F6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6D" w:rsidRDefault="00393EB6">
    <w:pPr>
      <w:pStyle w:val="a9"/>
      <w:jc w:val="center"/>
    </w:pPr>
    <w:fldSimple w:instr=" PAGE   \* MERGEFORMAT ">
      <w:r w:rsidR="0072228B">
        <w:rPr>
          <w:noProof/>
        </w:rPr>
        <w:t>3</w:t>
      </w:r>
    </w:fldSimple>
  </w:p>
  <w:p w:rsidR="00137F6D" w:rsidRDefault="00137F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52" w:rsidRDefault="00011052" w:rsidP="002A38A3">
      <w:r>
        <w:separator/>
      </w:r>
    </w:p>
  </w:footnote>
  <w:footnote w:type="continuationSeparator" w:id="1">
    <w:p w:rsidR="00011052" w:rsidRDefault="00011052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37F6D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5756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BB3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159E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0C36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54E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A4F"/>
    <w:rsid w:val="00D10BF0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720"/>
    <w:rsid w:val="00DA18DF"/>
    <w:rsid w:val="00DA2560"/>
    <w:rsid w:val="00DA272D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3A0"/>
    <w:rsid w:val="00FA5A8E"/>
    <w:rsid w:val="00FA5F5C"/>
    <w:rsid w:val="00FA6DE7"/>
    <w:rsid w:val="00FA6FD3"/>
    <w:rsid w:val="00FA77CA"/>
    <w:rsid w:val="00FA791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4A8-C17C-4FE6-8C6A-1C2306E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71</cp:revision>
  <cp:lastPrinted>2017-01-24T01:07:00Z</cp:lastPrinted>
  <dcterms:created xsi:type="dcterms:W3CDTF">2015-10-11T10:38:00Z</dcterms:created>
  <dcterms:modified xsi:type="dcterms:W3CDTF">2017-01-24T01:21:00Z</dcterms:modified>
</cp:coreProperties>
</file>